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300" w:right="146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13d-2 (Amendment No. 1)</w:t>
      </w:r>
      <w:r>
        <w:rPr>
          <w:rFonts w:ascii="Arial" w:cs="Arial" w:eastAsia="Arial" w:hAnsi="Arial"/>
          <w:sz w:val="18"/>
          <w:szCs w:val="18"/>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301625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21Vianet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Class A Ordinary shares, in the form of American Depositary Shares </w:t>
      </w:r>
      <w:r>
        <w:rPr>
          <w:rFonts w:ascii="Arial" w:cs="Arial" w:eastAsia="Arial" w:hAnsi="Arial"/>
          <w:sz w:val="15"/>
          <w:szCs w:val="15"/>
          <w:b w:val="1"/>
          <w:bCs w:val="1"/>
          <w:color w:val="auto"/>
        </w:rPr>
        <w:t>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90138A103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 (c)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 (d)</w:t>
      </w:r>
    </w:p>
    <w:p>
      <w:pPr>
        <w:spacing w:after="0" w:line="198" w:lineRule="exact"/>
        <w:rPr>
          <w:rFonts w:ascii="MS PGothic" w:cs="MS PGothic" w:eastAsia="MS PGothic" w:hAnsi="MS PGothic"/>
          <w:sz w:val="18"/>
          <w:szCs w:val="18"/>
          <w:color w:val="auto"/>
        </w:rPr>
      </w:pPr>
    </w:p>
    <w:p>
      <w:pPr>
        <w:ind w:left="460" w:right="80" w:hanging="446"/>
        <w:spacing w:after="0" w:line="258"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Each American Depositary Share represents 6 Class A Ordinary Shares, par value US$0.00001 per share.</w:t>
      </w:r>
    </w:p>
    <w:p>
      <w:pPr>
        <w:spacing w:after="0" w:line="212"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200" w:type="dxa"/>
            <w:vAlign w:val="bottom"/>
            <w:gridSpan w:val="4"/>
          </w:tcPr>
          <w:p>
            <w:pPr>
              <w:spacing w:after="0"/>
              <w:rPr>
                <w:sz w:val="20"/>
                <w:szCs w:val="20"/>
                <w:color w:val="auto"/>
              </w:rPr>
            </w:pPr>
            <w:r>
              <w:rPr>
                <w:rFonts w:ascii="Arial" w:cs="Arial" w:eastAsia="Arial" w:hAnsi="Arial"/>
                <w:sz w:val="18"/>
                <w:szCs w:val="18"/>
                <w:color w:val="auto"/>
              </w:rPr>
              <w:t>Schedule 13G</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80" w:type="dxa"/>
            <w:vAlign w:val="bottom"/>
            <w:gridSpan w:val="2"/>
          </w:tcPr>
          <w:p>
            <w:pPr>
              <w:ind w:left="4000"/>
              <w:spacing w:after="0"/>
              <w:rPr>
                <w:sz w:val="20"/>
                <w:szCs w:val="20"/>
                <w:color w:val="auto"/>
              </w:rPr>
            </w:pPr>
            <w:r>
              <w:rPr>
                <w:rFonts w:ascii="Arial" w:cs="Arial" w:eastAsia="Arial" w:hAnsi="Arial"/>
                <w:sz w:val="18"/>
                <w:szCs w:val="18"/>
                <w:color w:val="auto"/>
              </w:rPr>
              <w:t>Forms</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80" w:type="dxa"/>
            <w:vAlign w:val="bottom"/>
            <w:tcBorders>
              <w:top w:val="single" w:sz="8" w:color="auto"/>
            </w:tcBorders>
            <w:gridSpan w:val="2"/>
          </w:tcPr>
          <w:p>
            <w:pPr>
              <w:ind w:left="406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24"/>
        </w:trPr>
        <w:tc>
          <w:tcPr>
            <w:tcW w:w="5840" w:type="dxa"/>
            <w:vAlign w:val="bottom"/>
            <w:gridSpan w:val="7"/>
          </w:tcPr>
          <w:p>
            <w:pPr>
              <w:spacing w:after="0"/>
              <w:rPr>
                <w:sz w:val="20"/>
                <w:szCs w:val="20"/>
                <w:color w:val="auto"/>
              </w:rPr>
            </w:pPr>
            <w:r>
              <w:rPr>
                <w:rFonts w:ascii="Arial" w:cs="Arial" w:eastAsia="Arial" w:hAnsi="Arial"/>
                <w:sz w:val="18"/>
                <w:szCs w:val="18"/>
                <w:color w:val="auto"/>
              </w:rPr>
              <w:t>CUSIP No. 90138A103</w:t>
            </w:r>
          </w:p>
        </w:tc>
        <w:tc>
          <w:tcPr>
            <w:tcW w:w="5600" w:type="dxa"/>
            <w:vAlign w:val="bottom"/>
          </w:tcPr>
          <w:p>
            <w:pPr>
              <w:ind w:left="4300"/>
              <w:spacing w:after="0"/>
              <w:rPr>
                <w:sz w:val="20"/>
                <w:szCs w:val="20"/>
                <w:color w:val="auto"/>
              </w:rPr>
            </w:pPr>
            <w:r>
              <w:rPr>
                <w:rFonts w:ascii="Arial" w:cs="Arial" w:eastAsia="Arial" w:hAnsi="Arial"/>
                <w:sz w:val="18"/>
                <w:szCs w:val="18"/>
                <w:color w:val="auto"/>
                <w:w w:val="85"/>
              </w:rPr>
              <w:t>Page 2 of 6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gridSpan w:val="4"/>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6"/>
                <w:szCs w:val="16"/>
                <w:color w:val="auto"/>
              </w:rPr>
            </w:pPr>
          </w:p>
        </w:tc>
        <w:tc>
          <w:tcPr>
            <w:tcW w:w="538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5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96"/>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380" w:type="dxa"/>
            <w:vAlign w:val="bottom"/>
            <w:gridSpan w:val="4"/>
          </w:tcPr>
          <w:p>
            <w:pPr>
              <w:ind w:left="100"/>
              <w:spacing w:after="0"/>
              <w:rPr>
                <w:sz w:val="20"/>
                <w:szCs w:val="20"/>
                <w:color w:val="auto"/>
              </w:rPr>
            </w:pPr>
            <w:r>
              <w:rPr>
                <w:rFonts w:ascii="Arial" w:cs="Arial" w:eastAsia="Arial" w:hAnsi="Arial"/>
                <w:sz w:val="22"/>
                <w:szCs w:val="22"/>
                <w:color w:val="auto"/>
              </w:rPr>
              <w:t>GIC Private Limited</w:t>
            </w:r>
          </w:p>
        </w:tc>
        <w:tc>
          <w:tcPr>
            <w:tcW w:w="5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89"/>
              </w:rPr>
              <w:t>(None</w:t>
            </w:r>
            <w:r>
              <w:rPr>
                <w:rFonts w:ascii="Arial" w:cs="Arial" w:eastAsia="Arial" w:hAnsi="Arial"/>
                <w:sz w:val="22"/>
                <w:szCs w:val="22"/>
                <w:b w:val="1"/>
                <w:bCs w:val="1"/>
                <w:color w:val="auto"/>
                <w:w w:val="89"/>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8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5380" w:type="dxa"/>
            <w:vAlign w:val="bottom"/>
            <w:gridSpan w:val="4"/>
          </w:tcPr>
          <w:p>
            <w:pPr>
              <w:ind w:left="100"/>
              <w:spacing w:after="0" w:line="166" w:lineRule="exact"/>
              <w:rPr>
                <w:sz w:val="20"/>
                <w:szCs w:val="20"/>
                <w:color w:val="auto"/>
              </w:rPr>
            </w:pPr>
            <w:r>
              <w:rPr>
                <w:rFonts w:ascii="Arial" w:cs="Arial" w:eastAsia="Arial" w:hAnsi="Arial"/>
                <w:sz w:val="18"/>
                <w:szCs w:val="18"/>
                <w:color w:val="auto"/>
              </w:rPr>
              <w:t>Check the appropriate box if a member of a group*</w:t>
            </w:r>
          </w:p>
        </w:tc>
        <w:tc>
          <w:tcPr>
            <w:tcW w:w="5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4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9"/>
              </w:rPr>
              <w:t>SEC use only</w:t>
            </w:r>
          </w:p>
        </w:tc>
        <w:tc>
          <w:tcPr>
            <w:tcW w:w="4280" w:type="dxa"/>
            <w:vAlign w:val="bottom"/>
          </w:tcPr>
          <w:p>
            <w:pPr>
              <w:spacing w:after="0"/>
              <w:rPr>
                <w:sz w:val="19"/>
                <w:szCs w:val="19"/>
                <w:color w:val="auto"/>
              </w:rPr>
            </w:pP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5380" w:type="dxa"/>
            <w:vAlign w:val="bottom"/>
            <w:tcBorders>
              <w:bottom w:val="single" w:sz="8" w:color="auto"/>
            </w:tcBorders>
            <w:gridSpan w:val="4"/>
          </w:tcPr>
          <w:p>
            <w:pPr>
              <w:spacing w:after="0"/>
              <w:rPr>
                <w:sz w:val="21"/>
                <w:szCs w:val="21"/>
                <w:color w:val="auto"/>
              </w:rPr>
            </w:pPr>
          </w:p>
        </w:tc>
        <w:tc>
          <w:tcPr>
            <w:tcW w:w="5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Singapore</w:t>
            </w:r>
          </w:p>
        </w:tc>
        <w:tc>
          <w:tcPr>
            <w:tcW w:w="5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14,468,814</w:t>
            </w:r>
          </w:p>
        </w:tc>
        <w:tc>
          <w:tcPr>
            <w:tcW w:w="5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5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vMerge w:val="continue"/>
          </w:tcPr>
          <w:p>
            <w:pPr>
              <w:spacing w:after="0"/>
              <w:rPr>
                <w:sz w:val="15"/>
                <w:szCs w:val="15"/>
                <w:color w:val="auto"/>
              </w:rPr>
            </w:pPr>
          </w:p>
        </w:tc>
        <w:tc>
          <w:tcPr>
            <w:tcW w:w="5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80" w:type="dxa"/>
            <w:vAlign w:val="bottom"/>
          </w:tcPr>
          <w:p>
            <w:pPr>
              <w:spacing w:after="0"/>
              <w:rPr>
                <w:sz w:val="3"/>
                <w:szCs w:val="3"/>
                <w:color w:val="auto"/>
              </w:rPr>
            </w:pPr>
          </w:p>
        </w:tc>
        <w:tc>
          <w:tcPr>
            <w:tcW w:w="56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vMerge w:val="restart"/>
          </w:tcPr>
          <w:p>
            <w:pPr>
              <w:ind w:left="240"/>
              <w:spacing w:after="0"/>
              <w:rPr>
                <w:sz w:val="20"/>
                <w:szCs w:val="20"/>
                <w:color w:val="auto"/>
              </w:rPr>
            </w:pPr>
            <w:r>
              <w:rPr>
                <w:rFonts w:ascii="Arial" w:cs="Arial" w:eastAsia="Arial" w:hAnsi="Arial"/>
                <w:sz w:val="22"/>
                <w:szCs w:val="22"/>
                <w:color w:val="auto"/>
              </w:rPr>
              <w:t>3,898,410</w:t>
            </w:r>
          </w:p>
        </w:tc>
        <w:tc>
          <w:tcPr>
            <w:tcW w:w="5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vMerge w:val="continue"/>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6"/>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428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5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80" w:type="dxa"/>
            <w:vAlign w:val="bottom"/>
          </w:tcPr>
          <w:p>
            <w:pPr>
              <w:ind w:left="240"/>
              <w:spacing w:after="0" w:line="244" w:lineRule="exact"/>
              <w:rPr>
                <w:sz w:val="20"/>
                <w:szCs w:val="20"/>
                <w:color w:val="auto"/>
              </w:rPr>
            </w:pPr>
            <w:r>
              <w:rPr>
                <w:rFonts w:ascii="Arial" w:cs="Arial" w:eastAsia="Arial" w:hAnsi="Arial"/>
                <w:sz w:val="22"/>
                <w:szCs w:val="22"/>
                <w:color w:val="auto"/>
              </w:rPr>
              <w:t>14,468,814</w:t>
            </w:r>
          </w:p>
        </w:tc>
        <w:tc>
          <w:tcPr>
            <w:tcW w:w="5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5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5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3,898,410</w:t>
            </w:r>
          </w:p>
        </w:tc>
        <w:tc>
          <w:tcPr>
            <w:tcW w:w="5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436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18,367,224</w:t>
            </w:r>
          </w:p>
        </w:tc>
        <w:tc>
          <w:tcPr>
            <w:tcW w:w="5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w w:val="91"/>
              </w:rPr>
              <w:t>Check box if the aggregate amount in Row (9) excludes certain shares *</w:t>
            </w:r>
          </w:p>
        </w:tc>
        <w:tc>
          <w:tcPr>
            <w:tcW w:w="56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gridSpan w:val="2"/>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2"/>
          </w:tcPr>
          <w:p>
            <w:pPr>
              <w:spacing w:after="0"/>
              <w:rPr>
                <w:sz w:val="16"/>
                <w:szCs w:val="16"/>
                <w:color w:val="auto"/>
              </w:rPr>
            </w:pPr>
          </w:p>
        </w:tc>
        <w:tc>
          <w:tcPr>
            <w:tcW w:w="5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95"/>
              </w:rPr>
              <w:t>5.33%</w:t>
            </w:r>
            <w:r>
              <w:rPr>
                <w:rFonts w:ascii="Arial" w:cs="Arial" w:eastAsia="Arial" w:hAnsi="Arial"/>
                <w:sz w:val="22"/>
                <w:szCs w:val="22"/>
                <w:b w:val="1"/>
                <w:bCs w:val="1"/>
                <w:color w:val="auto"/>
                <w:w w:val="95"/>
              </w:rPr>
              <w:t>**</w:t>
            </w:r>
          </w:p>
        </w:tc>
        <w:tc>
          <w:tcPr>
            <w:tcW w:w="428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5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CO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w:t>
      </w:r>
    </w:p>
    <w:p>
      <w:pPr>
        <w:spacing w:after="0" w:line="23" w:lineRule="exact"/>
        <w:rPr>
          <w:sz w:val="20"/>
          <w:szCs w:val="20"/>
          <w:color w:val="auto"/>
        </w:rPr>
      </w:pPr>
    </w:p>
    <w:p>
      <w:pPr>
        <w:ind w:left="460" w:right="12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is based on 344,745,991 Class A Ordinary Shares issued and outstanding as reported in the issuer’s Form 20-F filed with the Securities and Exchange Commission on April 9, 2014.</w:t>
      </w:r>
    </w:p>
    <w:p>
      <w:pPr>
        <w:sectPr>
          <w:pgSz w:w="11900" w:h="16838" w:orient="portrait"/>
          <w:cols w:equalWidth="0" w:num="1">
            <w:col w:w="11440"/>
          </w:cols>
          <w:pgMar w:left="240" w:top="274"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3 of 6</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21Vianet Group, Inc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M5, 1 Jiuxianqiao East Road,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Chaoyang District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Beijing 100016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People’s Republic of China</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GIC Private Limited</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Singapore 068912</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Singapore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Ordinary shares, in the form of American Depositary Shares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90138A103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Rules 13d-1(b) or 13d-2(b) or (c), check whether the person filing is 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4 of 6</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The aggregate number of securities and percentage of the class of securities of the Issuer beneficially owned by the Reporting Person named in Item 2(a), as well as the number of securities as to which such person is deemed to have sole power to vote or to direct the vote, shared power to vote or to direct the vote, sole power to dispose or to direct the disposition, shared power to dispose or direct the disposition, is set forth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No. of Securities</w:t>
            </w:r>
          </w:p>
        </w:tc>
        <w:tc>
          <w:tcPr>
            <w:tcW w:w="1940" w:type="dxa"/>
            <w:vAlign w:val="bottom"/>
            <w:gridSpan w:val="4"/>
          </w:tcPr>
          <w:p>
            <w:pPr>
              <w:ind w:left="500"/>
              <w:spacing w:after="0"/>
              <w:rPr>
                <w:sz w:val="20"/>
                <w:szCs w:val="20"/>
                <w:color w:val="auto"/>
              </w:rPr>
            </w:pPr>
            <w:r>
              <w:rPr>
                <w:rFonts w:ascii="Arial" w:cs="Arial" w:eastAsia="Arial" w:hAnsi="Arial"/>
                <w:sz w:val="14"/>
                <w:szCs w:val="14"/>
                <w:color w:val="auto"/>
              </w:rPr>
              <w:t>Power to Vote</w:t>
            </w:r>
          </w:p>
        </w:tc>
        <w:tc>
          <w:tcPr>
            <w:tcW w:w="1820" w:type="dxa"/>
            <w:vAlign w:val="bottom"/>
            <w:gridSpan w:val="4"/>
          </w:tcPr>
          <w:p>
            <w:pPr>
              <w:ind w:left="380"/>
              <w:spacing w:after="0"/>
              <w:rPr>
                <w:sz w:val="20"/>
                <w:szCs w:val="20"/>
                <w:color w:val="auto"/>
              </w:rPr>
            </w:pPr>
            <w:r>
              <w:rPr>
                <w:rFonts w:ascii="Arial" w:cs="Arial" w:eastAsia="Arial" w:hAnsi="Arial"/>
                <w:sz w:val="14"/>
                <w:szCs w:val="14"/>
                <w:color w:val="auto"/>
              </w:rPr>
              <w:t>Power to Dispose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6300" w:type="dxa"/>
            <w:vAlign w:val="bottom"/>
            <w:gridSpan w:val="3"/>
          </w:tcPr>
          <w:p>
            <w:pPr>
              <w:spacing w:after="0"/>
              <w:rPr>
                <w:sz w:val="20"/>
                <w:szCs w:val="20"/>
                <w:color w:val="auto"/>
              </w:rPr>
            </w:pPr>
            <w:r>
              <w:rPr>
                <w:rFonts w:ascii="Arial" w:cs="Arial" w:eastAsia="Arial" w:hAnsi="Arial"/>
                <w:sz w:val="14"/>
                <w:szCs w:val="14"/>
                <w:color w:val="auto"/>
              </w:rPr>
              <w:t>Person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Beneficially Owned</w:t>
            </w:r>
          </w:p>
        </w:tc>
        <w:tc>
          <w:tcPr>
            <w:tcW w:w="1020" w:type="dxa"/>
            <w:vAlign w:val="bottom"/>
            <w:gridSpan w:val="2"/>
          </w:tcPr>
          <w:p>
            <w:pPr>
              <w:ind w:left="300"/>
              <w:spacing w:after="0"/>
              <w:rPr>
                <w:sz w:val="20"/>
                <w:szCs w:val="20"/>
                <w:color w:val="auto"/>
              </w:rPr>
            </w:pPr>
            <w:r>
              <w:rPr>
                <w:rFonts w:ascii="Arial" w:cs="Arial" w:eastAsia="Arial" w:hAnsi="Arial"/>
                <w:sz w:val="14"/>
                <w:szCs w:val="14"/>
                <w:color w:val="auto"/>
              </w:rPr>
              <w:t>Sole</w:t>
            </w:r>
            <w:r>
              <w:rPr>
                <w:rFonts w:ascii="Arial" w:cs="Arial" w:eastAsia="Arial" w:hAnsi="Arial"/>
                <w:sz w:val="12"/>
                <w:szCs w:val="12"/>
                <w:color w:val="auto"/>
              </w:rPr>
              <w:t>1</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Shared</w:t>
            </w:r>
            <w:r>
              <w:rPr>
                <w:rFonts w:ascii="Arial" w:cs="Arial" w:eastAsia="Arial" w:hAnsi="Arial"/>
                <w:sz w:val="12"/>
                <w:szCs w:val="12"/>
                <w:color w:val="auto"/>
              </w:rPr>
              <w:t>1</w:t>
            </w:r>
          </w:p>
        </w:tc>
        <w:tc>
          <w:tcPr>
            <w:tcW w:w="1000" w:type="dxa"/>
            <w:vAlign w:val="bottom"/>
            <w:gridSpan w:val="2"/>
          </w:tcPr>
          <w:p>
            <w:pPr>
              <w:ind w:left="280"/>
              <w:spacing w:after="0"/>
              <w:rPr>
                <w:sz w:val="20"/>
                <w:szCs w:val="20"/>
                <w:color w:val="auto"/>
              </w:rPr>
            </w:pPr>
            <w:r>
              <w:rPr>
                <w:rFonts w:ascii="Arial" w:cs="Arial" w:eastAsia="Arial" w:hAnsi="Arial"/>
                <w:sz w:val="14"/>
                <w:szCs w:val="14"/>
                <w:color w:val="auto"/>
              </w:rPr>
              <w:t>Sole</w:t>
            </w:r>
            <w:r>
              <w:rPr>
                <w:rFonts w:ascii="Arial" w:cs="Arial" w:eastAsia="Arial" w:hAnsi="Arial"/>
                <w:sz w:val="12"/>
                <w:szCs w:val="12"/>
                <w:color w:val="auto"/>
              </w:rPr>
              <w:t>1</w:t>
            </w: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Shared</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GIC Private Limited</w:t>
            </w:r>
            <w:r>
              <w:rPr>
                <w:rFonts w:ascii="Arial" w:cs="Arial" w:eastAsia="Arial" w:hAnsi="Arial"/>
                <w:sz w:val="15"/>
                <w:szCs w:val="15"/>
                <w:color w:val="auto"/>
              </w:rPr>
              <w:t>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18,367,224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14,468,814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3,898,410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14,468,814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3,898,410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GIC Private Limited (“GIC”) is a fund manager and only has 2 clients – the Government of Singapore (“GoS”) and the Monetary Authority of</w:t>
      </w:r>
    </w:p>
    <w:p>
      <w:pPr>
        <w:spacing w:after="0" w:line="35" w:lineRule="exact"/>
        <w:rPr>
          <w:sz w:val="20"/>
          <w:szCs w:val="20"/>
          <w:color w:val="auto"/>
        </w:rPr>
      </w:pPr>
    </w:p>
    <w:p>
      <w:pPr>
        <w:ind w:left="460" w:right="480"/>
        <w:spacing w:after="0" w:line="281" w:lineRule="auto"/>
        <w:rPr>
          <w:sz w:val="20"/>
          <w:szCs w:val="20"/>
          <w:color w:val="auto"/>
        </w:rPr>
      </w:pPr>
      <w:r>
        <w:rPr>
          <w:rFonts w:ascii="Arial" w:cs="Arial" w:eastAsia="Arial" w:hAnsi="Arial"/>
          <w:sz w:val="16"/>
          <w:szCs w:val="16"/>
          <w:color w:val="auto"/>
        </w:rPr>
        <w:t>Singapore (“MAS”). Under the investment management agreement with GoS, GIC has been given the sole discretion to exercise the voting rights attached to, and the disposition of, any shares managed on behalf of GoS. As such, GIC has the sole power to vote and power to dispose of the 14,468,814 securities beneficially owned by it. GIC shares power to vote and dispose of 3,898,410 securities beneficially owned by it with MAS.</w:t>
      </w:r>
    </w:p>
    <w:p>
      <w:pPr>
        <w:spacing w:after="0" w:line="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GIC disclaims membership in a group.</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5 of 6</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6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ind w:left="360"/>
        <w:spacing w:after="0"/>
        <w:tabs>
          <w:tab w:leader="none" w:pos="5520" w:val="left"/>
        </w:tabs>
        <w:rPr>
          <w:sz w:val="20"/>
          <w:szCs w:val="20"/>
          <w:color w:val="auto"/>
        </w:rPr>
      </w:pPr>
      <w:r>
        <w:rPr>
          <w:rFonts w:ascii="Arial" w:cs="Arial" w:eastAsia="Arial" w:hAnsi="Arial"/>
          <w:sz w:val="18"/>
          <w:szCs w:val="18"/>
          <w:color w:val="auto"/>
        </w:rPr>
        <w:t>February 10, 2015</w:t>
      </w:r>
      <w:r>
        <w:rPr>
          <w:sz w:val="20"/>
          <w:szCs w:val="20"/>
          <w:color w:val="auto"/>
        </w:rPr>
        <w:tab/>
      </w:r>
      <w:r>
        <w:rPr>
          <w:rFonts w:ascii="Arial" w:cs="Arial" w:eastAsia="Arial" w:hAnsi="Arial"/>
          <w:sz w:val="17"/>
          <w:szCs w:val="17"/>
          <w:color w:val="auto"/>
        </w:rPr>
        <w:t>GIC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by  /s/ Jimmy Teo</w:t>
            </w:r>
          </w:p>
        </w:tc>
        <w:tc>
          <w:tcPr>
            <w:tcW w:w="120" w:type="dxa"/>
            <w:vAlign w:val="bottom"/>
          </w:tcPr>
          <w:p>
            <w:pPr>
              <w:spacing w:after="0"/>
              <w:rPr>
                <w:sz w:val="20"/>
                <w:szCs w:val="20"/>
                <w:color w:val="auto"/>
              </w:rPr>
            </w:pPr>
          </w:p>
        </w:tc>
        <w:tc>
          <w:tcPr>
            <w:tcW w:w="3640" w:type="dxa"/>
            <w:vAlign w:val="bottom"/>
          </w:tcPr>
          <w:p>
            <w:pPr>
              <w:ind w:left="720"/>
              <w:spacing w:after="0"/>
              <w:rPr>
                <w:sz w:val="20"/>
                <w:szCs w:val="20"/>
                <w:color w:val="auto"/>
              </w:rPr>
            </w:pPr>
            <w:r>
              <w:rPr>
                <w:rFonts w:ascii="Arial" w:cs="Arial" w:eastAsia="Arial" w:hAnsi="Arial"/>
                <w:sz w:val="18"/>
                <w:szCs w:val="18"/>
                <w:color w:val="auto"/>
              </w:rPr>
              <w:t>/s/ Carol Tan</w:t>
            </w:r>
          </w:p>
        </w:tc>
      </w:tr>
      <w:tr>
        <w:trPr>
          <w:trHeight w:val="209"/>
        </w:trPr>
        <w:tc>
          <w:tcPr>
            <w:tcW w:w="300" w:type="dxa"/>
            <w:vAlign w:val="bottom"/>
          </w:tcPr>
          <w:p>
            <w:pPr>
              <w:spacing w:after="0"/>
              <w:rPr>
                <w:sz w:val="18"/>
                <w:szCs w:val="18"/>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Teo</w:t>
            </w:r>
          </w:p>
        </w:tc>
        <w:tc>
          <w:tcPr>
            <w:tcW w:w="120" w:type="dxa"/>
            <w:vAlign w:val="bottom"/>
          </w:tcPr>
          <w:p>
            <w:pPr>
              <w:spacing w:after="0"/>
              <w:rPr>
                <w:sz w:val="18"/>
                <w:szCs w:val="18"/>
                <w:color w:val="auto"/>
              </w:rPr>
            </w:pPr>
          </w:p>
        </w:tc>
        <w:tc>
          <w:tcPr>
            <w:tcW w:w="36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Carol Tan</w:t>
            </w:r>
          </w:p>
        </w:tc>
      </w:tr>
      <w:tr>
        <w:trPr>
          <w:trHeight w:val="230"/>
        </w:trPr>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20" w:type="dxa"/>
            <w:vAlign w:val="bottom"/>
          </w:tcPr>
          <w:p>
            <w:pPr>
              <w:spacing w:after="0"/>
              <w:rPr>
                <w:sz w:val="20"/>
                <w:szCs w:val="20"/>
                <w:color w:val="auto"/>
              </w:rPr>
            </w:pPr>
          </w:p>
        </w:tc>
        <w:tc>
          <w:tcPr>
            <w:tcW w:w="3640" w:type="dxa"/>
            <w:vAlign w:val="bottom"/>
          </w:tcPr>
          <w:p>
            <w:pPr>
              <w:ind w:left="720"/>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2019-12-09T00:22:40Z</dcterms:created>
  <dcterms:modified xsi:type="dcterms:W3CDTF">2019-12-09T00:22:40Z</dcterms:modified>
</cp:coreProperties>
</file>