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VNET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Shares, Par Value US$0.00001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Lawrence Xia</w:t>
              <w:br/>
              <w:t>Suite 2301-04, CITIC Tower, 1 Tim Mei Avenue</w:t>
              <w:br/>
              <w:t>Central, K3, 0000</w:t>
              <w:br/>
              <w:t>852 9736 7520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09/21/2026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PJ Millennium Limited Partnership</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BK, AF, 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650,424,192.00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650,424,192.00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650,424,192.00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38.1 %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Representing 650,424,192 Class A Ordinary Shares of VNET Group, Inc. (the "Issuer"), par value US$0.00001 per share ("Class A Ordinary Shares"), held in the aggregate by PJ Millennium I Limited and PJ Millennium II Limited. Each of PJ Millennium I Limited and PJ Millennium II Limited is a wholly owned subsidiary of PJ Millennium Limited Partnership, which may be deemed to beneficially own the shares held by PJ Millennium I Limited and PJ Millennium II Limited. (2) Calculation based on 1,708,970,760 Ordinary Shares issued and outstanding as of June 30, 2026 as a single class, comprising (a) 1,678,189,037 Class A Ordinary Shares issued and outstanding, excluding (i) treasury shares and (ii) Class A Ordinary Shares in the form of ADSs that are reserved for issuance upon the exercise of share incentive awards, (b) 30,721,723 Class B Ordinary Shares of the Issuer, par value US$0.00001 per share ("Class B Ordinary Shares"), issued and outstanding, (c) 60,000 Class C Ordinary Shares of the Issuer, par value US$0.00001 per share ("Class C Ordinary Shares"), issued and outstanding, and (d) no Class D Ordinary Shares, par value US$0.00001 per share ("Class D Ordinary Shares" and together with Class A Ordinary Shares, Class B Ordinary Shares, Class C Ordinary Shares, "Ordinary Shares"), issued and outstanding. Each Class B Ordinary Share or Class C Ordinary Share is convertible into one Class A Ordinary Share at any time by the holder thereof. Class A Ordinary Shares are not convertible into Class B Ordinary Shares or Class C Ordinary Shares under any circumstances.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PJ Millennium I Limited</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325,212,096.00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325,212,096.00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325,212,096.00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19.0 %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Representing 325,212,096 Class A Ordinary Shares held by PJ Millennium I Limited. (2) Calculation based on 1,708,970,760 Ordinary Shares issued and outstanding as of June 30, 2026 as a single class, comprising (a) 1,678,189,037 Class A Ordinary Shares issued and outstanding, excluding (i) treasury shares and (ii) Class A Ordinary Shares in the form of ADSs that are reserved for issuance upon the exercise of share incentive awards, (b) 30,721,723 Class B Ordinary Shares of the Issuer, par value US$0.00001 per share, issued and outstanding, (c) 60,000 Class C Ordinary Shares of the Issuer, par value US$0.00001 per share, issued and outstanding, and (d) no Class D Ordinary Shares, par value US$0.00001 per share, issued and outstanding. Each Class B Ordinary Share or Class C Ordinary Share is convertible into one Class A Ordinary Share at any time by the holder thereof. Class A Ordinary Shares are not convertible into Class B Ordinary Shares or Class C Ordinary Shares under any circumstances.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PJ Millennium II Limited</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325,212,096.00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325,212,096.00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325,212,096.00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19.0 %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Representing 325,212,096 Class A Ordinary Shares held by PJ Millennium II Limited. (2) Calculation based on 1,708,970,760 Ordinary Shares issued and outstanding as of June 30, 2026 as a single class, comprising (a) 1,678,189,037 Class A Ordinary Shares issued and outstanding, excluding (i) treasury shares and (ii) Class A Ordinary Shares in the form of ADSs that are reserved for issuance upon the exercise of share incentive awards, (b) 30,721,723 Class B Ordinary Shares of the Issuer, par value US$0.00001 per share, issued and outstanding, (c) 60,000 Class C Ordinary Shares of the Issuer, par value US$0.00001 per share, issued and outstanding, and (d) no Class D Ordinary Shares, par value US$0.00001 per share, issued and outstanding. Each Class B Ordinary Share or Class C Ordinary Share is convertible into one Class A Ordinary Share at any time by the holder thereof. Class A Ordinary Shares are not convertible into Class B Ordinary Shares or Class C Ordinary Shares under any circumstances.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Lochpine BG I GP Limited</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650,424,192.00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650,424,192.00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650,424,192.00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38.1 %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Representing 650,424,192 Class A Ordinary Shares held in the aggregate by PJ Millennium I Limited and PJ Millennium II Limited. Each of PJ Millennium I Limited and PJ Millennium II Limited is a wholly owned subsidiary of PJ Millennium Limited Partnership, the general partner of which is Lochpine BG I GP Limited. Lochpine BG I GP Limited may be deemed to beneficially own the shares held by PJ Millennium I Limited and PJ Millennium II Limited. (2) Calculation based on 1,708,970,760 Ordinary Shares issued and outstanding as of June 30, 2026 as a single class, comprising (a) 1,678,189,037 Class A Ordinary Shares issued and outstanding, excluding (i) treasury shares and (ii) Class A Ordinary Shares in the form of ADSs that are reserved for issuance upon the exercise of share incentive awards, (b) 30,721,723 Class B Ordinary Shares of the Issuer, par value US$0.00001 per share, issued and outstanding, (c) 60,000 Class C Ordinary Shares of the Issuer, par value US$0.00001 per share, issued and outstanding, and (d) no Class D Ordinary Shares, par value US$0.00001 per share, issued and outstanding. Each Class B Ordinary Share or Class C Ordinary Share is convertible into one Class A Ordinary Share at any time by the holder thereof. Class A Ordinary Shares are not convertible into Class B Ordinary Shares or Class C Ordinary Shares under any circumstances.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Lochpine Capital Limited</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650,424,192.00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650,424,192.00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650,424,192.00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38.1 %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Representing 650,424,192 Class A Ordinary Shares held in the aggregate by PJ Millennium I Limited and PJ Millennium II Limited. Each of PJ Millennium I Limited and PJ Millennium II Limited is a wholly owned subsidiary of PJ Millennium Limited Partnership, the general partner of which is Lochpine BG I GP Limited. Lochpine BG I GP Limited is a wholly owned subsidiary of Lochpine Capital Limited, which may be deemed to beneficially own the shares held by PJ Millennium I Limited and PJ Millennium II Limited. (2) Calculation based on 1,708,970,760 Ordinary Shares issued and outstanding as of June 30, 2026 as a single class, comprising (a) 1,678,189,037 Class A Ordinary Shares issued and outstanding, excluding (i) treasury shares and (ii) Class A Ordinary Shares in the form of ADSs that are reserved for issuance upon the exercise of share incentive awards, (b) 30,721,723 Class B Ordinary Shares of the Issuer, par value US$0.00001 per share, issued and outstanding, (c) 60,000 Class C Ordinary Shares of the Issuer, par value US$0.00001 per share, issued and outstanding, and (d) no Class D Ordinary Shares, par value US$0.00001 per share, issued and outstanding. Each Class B Ordinary Share or Class C Ordinary Share is convertible into one Class A Ordinary Share at any time by the holder thereof. Class A Ordinary Shares are not convertible into Class B Ordinary Shares or Class C Ordinary Shares under any circumstances.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item1to7"/>
      <w:bookmarkStart w:id="27" w:name="item1to7"/>
      <w:bookmarkEnd w:id="27"/>
    </w:p>
    <w:tbl>
      <w:tblPr>
        <w:tblW w:w="10205" w:type="dxa"/>
        <w:jc w:val="left"/>
        <w:tblInd w:w="0" w:type="dxa"/>
        <w:tblLayout w:type="fixed"/>
        <w:tblCellMar>
          <w:top w:w="28" w:type="dxa"/>
          <w:left w:w="28" w:type="dxa"/>
          <w:bottom w:w="28" w:type="dxa"/>
          <w:right w:w="28" w:type="dxa"/>
        </w:tblCellMar>
      </w:tblPr>
      <w:tblGrid>
        <w:gridCol w:w="1168"/>
        <w:gridCol w:w="8882"/>
        <w:gridCol w:w="155"/>
      </w:tblGrid>
      <w:tr>
        <w:trPr/>
        <w:tc>
          <w:tcPr>
            <w:tcW w:w="1168" w:type="dxa"/>
            <w:tcBorders/>
            <w:vAlign w:val="center"/>
          </w:tcPr>
          <w:p>
            <w:pPr>
              <w:pStyle w:val="TableContents"/>
              <w:bidi w:val="0"/>
              <w:spacing w:before="0" w:after="283"/>
              <w:jc w:val="left"/>
              <w:rPr/>
            </w:pPr>
            <w:r>
              <w:rPr/>
              <w:t>Item 1.</w:t>
            </w:r>
          </w:p>
        </w:tc>
        <w:tc>
          <w:tcPr>
            <w:tcW w:w="8882"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US$0.00001 Per Share</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jc w:val="left"/>
              <w:rPr/>
            </w:pPr>
            <w:r>
              <w:rPr/>
              <w:t xml:space="preserve">Name of Issuer: </w:t>
            </w:r>
          </w:p>
          <w:p>
            <w:pPr>
              <w:pStyle w:val="TableContents"/>
              <w:bidi w:val="0"/>
              <w:spacing w:before="0" w:after="0"/>
              <w:jc w:val="left"/>
              <w:rPr/>
            </w:pPr>
            <w:r>
              <w:rPr/>
              <w:t>VNET Group, Inc.</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Guanjie Building, Southeast 1st Floor, 10# Jiuxianqiao East Road, Chaoyang Dist, Beijing, CHINA , 100016.</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 to Schedule 13D (the "Amendment No. 1") is being filed by the Reporting Persons pursuant to Rule 13d-2(a) under the Act, with respect to Class A Ordinary Shares of the Issuer, to amend and supplement the Schedule 13D (the "Schedule 13D") originally filed by the Reporting Persons on August 28, 2026. Capitalized terms shall have the same meanings given to such terms in the Schedule 13D, unless otherwise defined herein. The Issuer's ADSs, each representing six Class A Ordinary Shares, are listed on the Nasdaq Global Select Market under the symbol "VNET."</w:t>
            </w:r>
          </w:p>
        </w:tc>
      </w:tr>
      <w:tr>
        <w:trPr/>
        <w:tc>
          <w:tcPr>
            <w:tcW w:w="1168" w:type="dxa"/>
            <w:tcBorders/>
            <w:vAlign w:val="center"/>
          </w:tcPr>
          <w:p>
            <w:pPr>
              <w:pStyle w:val="TableContents"/>
              <w:bidi w:val="0"/>
              <w:spacing w:before="0" w:after="283"/>
              <w:jc w:val="left"/>
              <w:rPr/>
            </w:pPr>
            <w:r>
              <w:rPr/>
              <w:t>Item 2.</w:t>
            </w:r>
          </w:p>
        </w:tc>
        <w:tc>
          <w:tcPr>
            <w:tcW w:w="8882"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spacing w:before="0" w:after="0"/>
              <w:jc w:val="left"/>
              <w:rPr/>
            </w:pPr>
            <w:r>
              <w:rPr/>
              <w:t>There is no update or amendment to this Item 2(a).</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spacing w:before="0" w:after="0"/>
              <w:jc w:val="left"/>
              <w:rPr/>
            </w:pPr>
            <w:r>
              <w:rPr/>
              <w:t>There is no update or amendment to this Item 2(b).</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spacing w:before="0" w:after="0"/>
              <w:jc w:val="left"/>
              <w:rPr/>
            </w:pPr>
            <w:r>
              <w:rPr/>
              <w:t>There is no update or amendment to this Item 2(c).</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(d)</w:t>
            </w:r>
          </w:p>
        </w:tc>
        <w:tc>
          <w:tcPr>
            <w:tcW w:w="8882" w:type="dxa"/>
            <w:tcBorders/>
            <w:vAlign w:val="center"/>
          </w:tcPr>
          <w:p>
            <w:pPr>
              <w:pStyle w:val="TableContents"/>
              <w:bidi w:val="0"/>
              <w:spacing w:before="0" w:after="0"/>
              <w:jc w:val="left"/>
              <w:rPr/>
            </w:pPr>
            <w:r>
              <w:rPr/>
              <w:t>There is no update or amendment to this Item 2(d).</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(e)</w:t>
            </w:r>
          </w:p>
        </w:tc>
        <w:tc>
          <w:tcPr>
            <w:tcW w:w="8882" w:type="dxa"/>
            <w:tcBorders/>
            <w:vAlign w:val="center"/>
          </w:tcPr>
          <w:p>
            <w:pPr>
              <w:pStyle w:val="TableContents"/>
              <w:bidi w:val="0"/>
              <w:spacing w:before="0" w:after="0"/>
              <w:jc w:val="left"/>
              <w:rPr/>
            </w:pPr>
            <w:r>
              <w:rPr/>
              <w:t>There is no update or amendment to this Item 2(e).</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(f)</w:t>
            </w:r>
          </w:p>
        </w:tc>
        <w:tc>
          <w:tcPr>
            <w:tcW w:w="8882" w:type="dxa"/>
            <w:tcBorders/>
            <w:vAlign w:val="center"/>
          </w:tcPr>
          <w:p>
            <w:pPr>
              <w:pStyle w:val="TableContents"/>
              <w:bidi w:val="0"/>
              <w:spacing w:before="0" w:after="0"/>
              <w:jc w:val="left"/>
              <w:rPr/>
            </w:pPr>
            <w:r>
              <w:rPr/>
              <w:t>There is no update or amendment to this Item 2(f).</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3.</w:t>
            </w:r>
          </w:p>
        </w:tc>
        <w:tc>
          <w:tcPr>
            <w:tcW w:w="8882"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Item 3 is further supplemented by the following. On September 21, 2026, the sale and purchase of all 455,296,932 Seller A Shares was consummated (the "Seller A Shares Closing"), pursuant to which Seller A sold, and Purchaser A and Purchaser B each acquired, 227,648,466 Class A Ordinary Shares. The aggregate consideration allocated to the Seller A Shares Closing under the Share Purchase Agreement was US$659,527,963. Pursuant to the Share Purchase Agreement, US$197,858,389 of the deposit previously paid by the Purchasers was treated as part of the consideration payable at the Seller A Shares Closing, and the balance of US$461,669,574 was paid to Seller A at the Seller A Shares Closing. The funds used by each Purchaser to acquire the Seller A Shares were provided by PJ Millennium Limited Partnership primarily through capital contributions by its limited partners and bank borrowings.</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4.</w:t>
            </w:r>
          </w:p>
        </w:tc>
        <w:tc>
          <w:tcPr>
            <w:tcW w:w="8882"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Item 4 is further supplemented by the following. On September 21, 2026, the Seller A Shares Closing was consummated. As a result, the Purchasers completed the acquisition of all 650,424,192 Sale Shares contemplated by the Share Purchase Agreement. Upon the Seller A Shares Closing, the Investor Rights Agreement and the Voting and Consortium Agreement became effective in accordance with their respective terms (other than certain provisions thereof that became effective on May 13, 2026), and the voting term (the "Voting Term") under the Voting and Consortium Agreement commenced.</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5.</w:t>
            </w:r>
          </w:p>
        </w:tc>
        <w:tc>
          <w:tcPr>
            <w:tcW w:w="8882"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spacing w:before="0" w:after="0"/>
              <w:jc w:val="left"/>
              <w:rPr/>
            </w:pPr>
            <w:r>
              <w:rPr/>
              <w:t>The responses to Items 2, 3, 4 and 6, and rows (7) through (13) of the cover pages of this statement are incorporated herein by reference in their entirety in this Item 5. Except as disclosed in this Amendment No. 1, none of the Reporting Persons beneficially owns any Ordinary Shares or has the right to acquire any Class A Ordinary Shares. Except as disclosed in this Amendment No. 1, none of the Reporting Persons presently has the power to vote or to direct the vote or to dispose or direct the disposition of any Class A Ordinary Shares that they may be deemed to beneficially own.</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spacing w:before="0" w:after="0"/>
              <w:jc w:val="left"/>
              <w:rPr/>
            </w:pPr>
            <w:r>
              <w:rPr/>
              <w:t>The responses to Items 2, 3, 4 and 6, and rows (7) through (13) of the cover pages of this statement are incorporated herein by reference in their entirety in this Item 5. Except as disclosed in this Amendment No. 1, none of the Reporting Persons beneficially owns any Ordinary Shares or has the right to acquire any Class A Ordinary Shares. Except as disclosed in this Amendment No. 1, none of the Reporting Persons presently has the power to vote or to direct the vote or to dispose or direct the disposition of any Class A Ordinary Shares that they may be deemed to beneficially own.</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spacing w:before="0" w:after="0"/>
              <w:jc w:val="left"/>
              <w:rPr/>
            </w:pPr>
            <w:r>
              <w:rPr/>
              <w:t>Except as disclosed in the Schedule 13D and this Amendment No. 1, none of the Reporting Persons has effected any transaction in the ordinary shares of the Issuer during the past 60 days.</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(d)</w:t>
            </w:r>
          </w:p>
        </w:tc>
        <w:tc>
          <w:tcPr>
            <w:tcW w:w="8882" w:type="dxa"/>
            <w:tcBorders/>
            <w:vAlign w:val="center"/>
          </w:tcPr>
          <w:p>
            <w:pPr>
              <w:pStyle w:val="TableContents"/>
              <w:bidi w:val="0"/>
              <w:spacing w:before="0" w:after="0"/>
              <w:jc w:val="left"/>
              <w:rPr/>
            </w:pPr>
            <w:r>
              <w:rPr/>
              <w:t>Except as disclosed in this Amendment No. 1, to the best knowledge of the Reporting Persons, no person other than the Reporting Persons is known to have the right to receive or the power to direct the receipt of dividends from, or the proceeds from the sale of, the ordinary shares of the Issuer beneficially owned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(e)</w:t>
            </w:r>
          </w:p>
        </w:tc>
        <w:tc>
          <w:tcPr>
            <w:tcW w:w="8882"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6.</w:t>
            </w:r>
          </w:p>
        </w:tc>
        <w:tc>
          <w:tcPr>
            <w:tcW w:w="8882"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Item 6 is further supplemented by the following. Share Purchase Agreement. Following the Seller A Shares Closing on September 21, 2026, the purchase and sale of all Sale Shares contemplated by the Share Purchase Agreement has been consummated. Investor Rights Agreement. The Investor Rights Agreement became effective upon the consummation of Seller A Shares Closing on September 21, 2026, other than certain provisions that became effective on May 13, 2026, in accordance with its terms. Voting and Consortium Agreement. The Voting and Consortium Agreement became effective upon the consummation of Seller A Shares Closing on September 21, 2026, other than certain provisions that became effective on May 13, 2026, in accordance with its terms. Pursuant to the Voting and Consortium Agreement, during the Voting Term, the Purchasers are required, with respect to an aggregate of fifty percent (50%) of (1) the Class A Ordinary Shares held by the Purchasers as of the date of the Seller A Shares Closing minus (2) the Founder Indirect Shares (such aggregate number, the "Relevant Shares"), to vote in accordance with written voting instructions provided by the Founder Parties, subject to the terms and exceptions set forth therein. "Founder Indirect Shares" means the equity securities of the Issuer owned by the Purchasers and represented on a proportionate basis by limited partnership or equivalent interests in PJ Millennium Limited Partnership subscribed for by the Founder Parties or their designees pursuant to the Voting and Consortium Agreement. The Voting Term initially commenced on the date of the Seller A Shares Closing and will expire on the second anniversary of the date of the Seller A Shares Closing, subject to earlier termination in accordance with the terms of the Voting and Consortium Agreement. The Voting Term may be extended by mutual agreement between the Founder Parties and the Purchasers in accordance with the Voting and Consortium Agreement.</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7.</w:t>
            </w:r>
          </w:p>
        </w:tc>
        <w:tc>
          <w:tcPr>
            <w:tcW w:w="8882"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There is no update or amendment to this Item 7.</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signatureInfo"/>
      <w:bookmarkStart w:id="29" w:name="signatureInfo"/>
      <w:bookmarkEnd w:id="2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PJ Millennium Limited Partnership</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XIA Tianqing</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XIA Tianqing/Authorized Signatory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09/23/2026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PJ Millennium I Limited</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XIA Tianqing</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XIA Tianqing/Director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09/23/2026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PJ Millennium II Limited</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XIA Tianqing</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XIA Tianqing/Director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09/23/2026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5828" w:type="dxa"/>
        <w:jc w:val="left"/>
        <w:tblInd w:w="0" w:type="dxa"/>
        <w:tblLayout w:type="fixed"/>
        <w:tblCellMar>
          <w:top w:w="28" w:type="dxa"/>
          <w:left w:w="28" w:type="dxa"/>
          <w:bottom w:w="28" w:type="dxa"/>
          <w:right w:w="28" w:type="dxa"/>
        </w:tblCellMar>
      </w:tblPr>
      <w:tblGrid>
        <w:gridCol w:w="2914"/>
        <w:gridCol w:w="2914"/>
      </w:tblGrid>
      <w:tr>
        <w:trPr/>
        <w:tc>
          <w:tcPr>
            <w:tcW w:w="2914" w:type="dxa"/>
            <w:tcBorders/>
            <w:vAlign w:val="center"/>
          </w:tcPr>
          <w:p>
            <w:pPr>
              <w:pStyle w:val="TableContents"/>
              <w:bidi w:val="0"/>
              <w:spacing w:before="0" w:after="0"/>
              <w:jc w:val="left"/>
              <w:rPr/>
            </w:pPr>
            <w:r>
              <w:rPr/>
              <w:t> </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0"/>
                    <w:jc w:val="left"/>
                    <w:rPr/>
                  </w:pPr>
                  <w:r>
                    <w:rPr/>
                    <w:t>Lochpine BG I GP Limited</w:t>
                  </w:r>
                </w:p>
              </w:tc>
            </w:tr>
          </w:tbl>
          <w:p>
            <w:pPr>
              <w:pStyle w:val="TableContents"/>
              <w:bidi w:val="0"/>
              <w:spacing w:before="0" w:after="283"/>
              <w:jc w:val="left"/>
              <w:rPr/>
            </w:pPr>
            <w:r>
              <w:rPr/>
            </w:r>
          </w:p>
        </w:tc>
        <w:tc>
          <w:tcPr>
            <w:tcW w:w="29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XIA Tianqing</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XIA Tianqing/Director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09/23/2026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Lochpine Capital Limited</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2"/>
        <w:gridCol w:w="4393"/>
      </w:tblGrid>
      <w:tr>
        <w:trPr/>
        <w:tc>
          <w:tcPr>
            <w:tcW w:w="58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WANG, Hongbo</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WANG, Hongbo/Director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09/23/2026</w:t>
                  </w:r>
                </w:p>
              </w:tc>
            </w:tr>
          </w:tbl>
          <w:p>
            <w:pPr>
              <w:pStyle w:val="TableContents"/>
              <w:bidi w:val="0"/>
              <w:spacing w:before="0" w:after="283"/>
              <w:jc w:val="left"/>
              <w:rPr/>
            </w:pPr>
            <w:r>
              <w:rPr/>
            </w:r>
          </w:p>
        </w:tc>
        <w:tc>
          <w:tcPr>
            <w:tcW w:w="439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3167</Words>
  <Characters>16270</Characters>
  <CharactersWithSpaces>19281</CharactersWithSpaces>
  <Paragraphs>341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