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6993255" cy="539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96865"/>
                    </a:xfrm>
                    <a:prstGeom prst="rect">
                      <a:avLst/>
                    </a:prstGeom>
                    <a:noFill/>
                  </pic:spPr>
                </pic:pic>
              </a:graphicData>
            </a:graphic>
          </wp:anchor>
        </w:drawing>
      </w:r>
    </w:p>
    <w:p>
      <w:pPr>
        <w:spacing w:after="0" w:line="118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16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80" w:type="dxa"/>
            <w:vAlign w:val="bottom"/>
            <w:gridSpan w:val="3"/>
          </w:tcPr>
          <w:p>
            <w:pPr>
              <w:ind w:left="660"/>
              <w:spacing w:after="0"/>
              <w:rPr>
                <w:sz w:val="20"/>
                <w:szCs w:val="20"/>
                <w:color w:val="auto"/>
              </w:rPr>
            </w:pPr>
            <w:r>
              <w:rPr>
                <w:rFonts w:ascii="Arial" w:cs="Arial" w:eastAsia="Arial" w:hAnsi="Arial"/>
                <w:sz w:val="13"/>
                <w:szCs w:val="13"/>
                <w:color w:val="auto"/>
                <w:w w:val="98"/>
              </w:rPr>
              <w:t xml:space="preserve">2. Issuer Name </w:t>
            </w:r>
            <w:r>
              <w:rPr>
                <w:rFonts w:ascii="Arial" w:cs="Arial" w:eastAsia="Arial" w:hAnsi="Arial"/>
                <w:sz w:val="13"/>
                <w:szCs w:val="13"/>
                <w:b w:val="1"/>
                <w:bCs w:val="1"/>
                <w:color w:val="auto"/>
                <w:w w:val="98"/>
              </w:rPr>
              <w:t>and</w:t>
            </w:r>
            <w:r>
              <w:rPr>
                <w:rFonts w:ascii="Arial" w:cs="Arial" w:eastAsia="Arial" w:hAnsi="Arial"/>
                <w:sz w:val="13"/>
                <w:szCs w:val="13"/>
                <w:color w:val="auto"/>
                <w:w w:val="98"/>
              </w:rPr>
              <w:t xml:space="preserve"> Ticker or Trading Symbol</w:t>
            </w:r>
          </w:p>
        </w:tc>
        <w:tc>
          <w:tcPr>
            <w:tcW w:w="0" w:type="dxa"/>
            <w:vAlign w:val="bottom"/>
          </w:tcPr>
          <w:p>
            <w:pPr>
              <w:spacing w:after="0"/>
              <w:rPr>
                <w:sz w:val="1"/>
                <w:szCs w:val="1"/>
                <w:color w:val="auto"/>
              </w:rPr>
            </w:pPr>
          </w:p>
        </w:tc>
      </w:tr>
      <w:tr>
        <w:trPr>
          <w:trHeight w:val="181"/>
        </w:trPr>
        <w:tc>
          <w:tcPr>
            <w:tcW w:w="3160" w:type="dxa"/>
            <w:vAlign w:val="bottom"/>
            <w:gridSpan w:val="3"/>
            <w:vMerge w:val="restart"/>
          </w:tcPr>
          <w:p>
            <w:pPr>
              <w:ind w:left="4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Chen David Lifeng</w:t>
              </w:r>
            </w:hyperlink>
          </w:p>
        </w:tc>
        <w:tc>
          <w:tcPr>
            <w:tcW w:w="660" w:type="dxa"/>
            <w:vAlign w:val="bottom"/>
          </w:tcPr>
          <w:p>
            <w:pPr>
              <w:spacing w:after="0"/>
              <w:rPr>
                <w:sz w:val="15"/>
                <w:szCs w:val="15"/>
                <w:color w:val="auto"/>
              </w:rPr>
            </w:pPr>
          </w:p>
        </w:tc>
        <w:tc>
          <w:tcPr>
            <w:tcW w:w="262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VNET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VNET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3160" w:type="dxa"/>
            <w:vAlign w:val="bottom"/>
            <w:gridSpan w:val="3"/>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156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10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1600" w:type="dxa"/>
            <w:vAlign w:val="bottom"/>
            <w:tcBorders>
              <w:top w:val="single" w:sz="8" w:color="0000EE"/>
            </w:tcBorders>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560" w:type="dxa"/>
            <w:vAlign w:val="bottom"/>
            <w:tcBorders>
              <w:top w:val="single" w:sz="8" w:color="0000EE"/>
            </w:tcBorders>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20" w:firstLine="5"/>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jc w:val="both"/>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0"/>
          <w:szCs w:val="20"/>
          <w:color w:val="auto"/>
        </w:rPr>
      </w:pPr>
    </w:p>
    <w:p>
      <w:pPr>
        <w:sectPr>
          <w:pgSz w:w="11900" w:h="16838" w:orient="portrait"/>
          <w:cols w:equalWidth="0" w:num="2">
            <w:col w:w="7005" w:space="720"/>
            <w:col w:w="335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4"/>
                <w:szCs w:val="4"/>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7"/>
                <w:szCs w:val="17"/>
                <w:color w:val="0000FF"/>
              </w:rPr>
              <w:t>10# JIU XIANQIAO EAST ROAD,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top w:val="single" w:sz="8" w:color="2C2C2C"/>
            </w:tcBorders>
            <w:gridSpan w:val="5"/>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240" w:type="dxa"/>
            <w:vAlign w:val="bottom"/>
            <w:tcBorders>
              <w:top w:val="single" w:sz="8" w:color="2C2C2C"/>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CHAOYANG DISTRICT</w:t>
            </w:r>
          </w:p>
        </w:tc>
        <w:tc>
          <w:tcPr>
            <w:tcW w:w="1140" w:type="dxa"/>
            <w:vAlign w:val="bottom"/>
          </w:tcPr>
          <w:p>
            <w:pPr>
              <w:spacing w:after="0"/>
              <w:rPr>
                <w:sz w:val="18"/>
                <w:szCs w:val="18"/>
                <w:color w:val="auto"/>
              </w:rPr>
            </w:pPr>
          </w:p>
        </w:tc>
        <w:tc>
          <w:tcPr>
            <w:tcW w:w="168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0000FF"/>
              </w:rPr>
              <w:t>10/31/2026</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spacing w:after="0"/>
              <w:rPr>
                <w:sz w:val="13"/>
                <w:szCs w:val="13"/>
                <w:color w:val="auto"/>
              </w:rPr>
            </w:pPr>
          </w:p>
        </w:tc>
        <w:tc>
          <w:tcPr>
            <w:tcW w:w="180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840" w:type="dxa"/>
            <w:vAlign w:val="bottom"/>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180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gridSpan w:val="6"/>
          </w:tcPr>
          <w:p>
            <w:pPr>
              <w:ind w:left="60"/>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6"/>
              </w:rPr>
              <w:t>BEIJING</w:t>
            </w: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7"/>
          </w:tcPr>
          <w:p>
            <w:pPr>
              <w:ind w:left="140"/>
              <w:spacing w:after="0" w:line="144"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CHINA</w:t>
            </w: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(Country)</w:t>
            </w: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5"/>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6"/>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4"/>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2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10/31/2026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83,538</w:t>
            </w:r>
            <w:r>
              <w:rPr>
                <w:rFonts w:ascii="Times New Roman" w:cs="Times New Roman" w:eastAsia="Times New Roman" w:hAnsi="Times New Roman"/>
                <w:sz w:val="21"/>
                <w:szCs w:val="21"/>
                <w:color w:val="008000"/>
                <w:vertAlign w:val="superscript"/>
              </w:rPr>
              <w:t>(2)</w:t>
            </w:r>
          </w:p>
        </w:tc>
        <w:tc>
          <w:tcPr>
            <w:tcW w:w="2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right"/>
              <w:ind w:right="15"/>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584,790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3"/>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Transaction   of</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and 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83,538</w:t>
            </w: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60" w:type="dxa"/>
            <w:vAlign w:val="bottom"/>
            <w:gridSpan w:val="2"/>
            <w:vMerge w:val="restart"/>
          </w:tcPr>
          <w:p>
            <w:pPr>
              <w:ind w:left="140"/>
              <w:spacing w:after="0" w:line="234" w:lineRule="exact"/>
              <w:rPr>
                <w:sz w:val="20"/>
                <w:szCs w:val="20"/>
                <w:color w:val="auto"/>
              </w:rPr>
            </w:pPr>
            <w:r>
              <w:rPr>
                <w:rFonts w:ascii="Times New Roman" w:cs="Times New Roman" w:eastAsia="Times New Roman" w:hAnsi="Times New Roman"/>
                <w:sz w:val="13"/>
                <w:szCs w:val="13"/>
                <w:color w:val="0000FF"/>
              </w:rPr>
              <w:t>334,170</w:t>
            </w:r>
            <w:r>
              <w:rPr>
                <w:rFonts w:ascii="Times New Roman" w:cs="Times New Roman" w:eastAsia="Times New Roman" w:hAnsi="Times New Roman"/>
                <w:sz w:val="21"/>
                <w:szCs w:val="21"/>
                <w:color w:val="008000"/>
                <w:vertAlign w:val="superscript"/>
              </w:rPr>
              <w:t>(6)</w:t>
            </w: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10/31/2026</w:t>
            </w: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83,538</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gridSpan w:val="2"/>
            <w:vMerge w:val="restart"/>
          </w:tcPr>
          <w:p>
            <w:pPr>
              <w:ind w:left="80"/>
              <w:spacing w:after="0" w:line="183" w:lineRule="exact"/>
              <w:rPr>
                <w:sz w:val="20"/>
                <w:szCs w:val="20"/>
                <w:color w:val="auto"/>
              </w:rPr>
            </w:pPr>
            <w:r>
              <w:rPr>
                <w:rFonts w:ascii="Times New Roman" w:cs="Times New Roman" w:eastAsia="Times New Roman" w:hAnsi="Times New Roman"/>
                <w:sz w:val="13"/>
                <w:szCs w:val="13"/>
                <w:color w:val="0000FF"/>
                <w:w w:val="89"/>
              </w:rPr>
              <w:t>ordinary</w:t>
            </w:r>
            <w:r>
              <w:rPr>
                <w:rFonts w:ascii="Times New Roman" w:cs="Times New Roman" w:eastAsia="Times New Roman" w:hAnsi="Times New Roman"/>
                <w:sz w:val="21"/>
                <w:szCs w:val="21"/>
                <w:color w:val="008000"/>
                <w:w w:val="89"/>
                <w:vertAlign w:val="subscript"/>
              </w:rPr>
              <w:t>(1)</w:t>
            </w: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Units</w:t>
            </w:r>
          </w:p>
        </w:tc>
        <w:tc>
          <w:tcPr>
            <w:tcW w:w="7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-2109470</wp:posOffset>
            </wp:positionV>
            <wp:extent cx="29210" cy="2115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51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A ordinary shares are held in the form of American depositary shares ("ADS"). Each ADS represents six(6) Class A ordinary shares.</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83,538 Class A ordinary shares in the form of American depositary shares acquired upon the vesting of the same number of RSUs on October 31, 2026.</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(1) Class A ordinary share of the issuer upon vesting.</w:t>
      </w:r>
    </w:p>
    <w:p>
      <w:pPr>
        <w:spacing w:after="0" w:line="44" w:lineRule="exact"/>
        <w:rPr>
          <w:rFonts w:ascii="Times New Roman" w:cs="Times New Roman" w:eastAsia="Times New Roman" w:hAnsi="Times New Roman"/>
          <w:sz w:val="13"/>
          <w:szCs w:val="13"/>
          <w:color w:val="008000"/>
        </w:rPr>
      </w:pPr>
    </w:p>
    <w:p>
      <w:pPr>
        <w:ind w:left="40" w:right="18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to the reporting person pursuant to the issuer's share incentive plans, of which 83,538 RSUs vested on October 31, 2026. Each RSU represents the contingent right to receive one (1) Class A ordinary share of the issuer upon vesting.</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have an expiration date.</w:t>
      </w:r>
    </w:p>
    <w:p>
      <w:pPr>
        <w:spacing w:after="0" w:line="44" w:lineRule="exact"/>
        <w:rPr>
          <w:rFonts w:ascii="Times New Roman" w:cs="Times New Roman" w:eastAsia="Times New Roman" w:hAnsi="Times New Roman"/>
          <w:sz w:val="13"/>
          <w:szCs w:val="13"/>
          <w:color w:val="008000"/>
        </w:rPr>
      </w:pPr>
    </w:p>
    <w:p>
      <w:pPr>
        <w:ind w:left="40" w:right="22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remaining 334,170 RSUs granted to the reporting person pursuant to the issuer's share incentive plans, 83,544 RSUs will vest on January 31, 2027, April 30, 2027 and October 31, 2027, respectively, and 83,538 RSUs will vest on July 31, 2027. Each RSU represents the contingent right to receive one (1) Class A ordinary share of the issuer upon vesting.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/s/Chen David Lifeng</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11/03/2026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5244" TargetMode="External"/><Relationship Id="rId14" Type="http://schemas.openxmlformats.org/officeDocument/2006/relationships/hyperlink" Target="http://www.sec.gov/cgi-bin/browse-edgar?action=getcompany&amp;CIK=0001508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2026-11-03T07:21:36Z</dcterms:created>
  <dcterms:modified xsi:type="dcterms:W3CDTF">2026-11-03T07:21:36Z</dcterms:modified>
</cp:coreProperties>
</file>